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EF1" w:rsidRDefault="00D80B3B">
      <w:pPr>
        <w:pStyle w:val="Standard"/>
        <w:keepNext/>
        <w:keepLines/>
        <w:suppressLineNumbers/>
        <w:spacing w:after="240"/>
        <w:ind w:left="3969"/>
        <w:jc w:val="both"/>
      </w:pPr>
      <w:r>
        <w:rPr>
          <w:rFonts w:ascii="Times New Roman" w:eastAsia="Times New Roman" w:hAnsi="Times New Roman" w:cs="Times New Roman"/>
          <w:b/>
          <w:color w:val="00000A"/>
        </w:rPr>
        <w:t xml:space="preserve">ATA Nº 09/2020 - Reunião Extraordinária da Congregação do CFA, da Universidade Federal do Sul da Bahia (UFSB), </w:t>
      </w:r>
      <w:r>
        <w:rPr>
          <w:rFonts w:ascii="Times New Roman" w:eastAsia="Times New Roman" w:hAnsi="Times New Roman" w:cs="Times New Roman"/>
          <w:b/>
          <w:i/>
          <w:color w:val="00000A"/>
        </w:rPr>
        <w:t>Campus</w:t>
      </w:r>
      <w:r>
        <w:rPr>
          <w:rFonts w:ascii="Times New Roman" w:eastAsia="Times New Roman" w:hAnsi="Times New Roman" w:cs="Times New Roman"/>
          <w:b/>
          <w:color w:val="00000A"/>
        </w:rPr>
        <w:t xml:space="preserve"> Sosígenes Costa, realizada em 06 de agosto de 2020.</w:t>
      </w:r>
    </w:p>
    <w:p w:rsidR="00581EF1" w:rsidRDefault="00D80B3B">
      <w:pPr>
        <w:pStyle w:val="Standard"/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 xml:space="preserve">Reunião ocorrida dia 06 de agosto de 2020, às 14 horas, metapresencialmente. </w:t>
      </w:r>
      <w:r>
        <w:rPr>
          <w:rFonts w:ascii="Times New Roman" w:eastAsia="Times New Roman" w:hAnsi="Times New Roman" w:cs="Times New Roman"/>
        </w:rPr>
        <w:t xml:space="preserve">Estavam </w:t>
      </w:r>
      <w:r>
        <w:rPr>
          <w:rFonts w:ascii="Times New Roman" w:eastAsia="Times New Roman" w:hAnsi="Times New Roman" w:cs="Times New Roman"/>
        </w:rPr>
        <w:t>presentes: Alemar Silva Araújo Rena (Decano), presidindo a reunião; Hamilton Richard Alexandrino dos Santos (Vice Decano); Ariane Stolfi (Servidora Docente); Annaline Piccolo (Servidora Docente); Juliana Coelho Gontijo (Vice Coordenadora do Curso Som Image</w:t>
      </w:r>
      <w:r>
        <w:rPr>
          <w:rFonts w:ascii="Times New Roman" w:eastAsia="Times New Roman" w:hAnsi="Times New Roman" w:cs="Times New Roman"/>
        </w:rPr>
        <w:t xml:space="preserve">m e Movimento); Pâmela Peregrino (Vice Coordenadora do Curso EPArtes); Clarissa Santos Silva (Vice-Coordenadora Curso EPArtes); Bernard Pêgo Belisário (Coordenador do Curso Som Imagem e Movimento); Leonardo Souza (Servidor Docente); Augustin Maurice Marie </w:t>
      </w:r>
      <w:r>
        <w:rPr>
          <w:rFonts w:ascii="Times New Roman" w:eastAsia="Times New Roman" w:hAnsi="Times New Roman" w:cs="Times New Roman"/>
        </w:rPr>
        <w:t xml:space="preserve">Gondallier de Tugny (Coordenador do Curso BI Artes); Dodi Leal (Coordenadora </w:t>
      </w:r>
      <w:proofErr w:type="spellStart"/>
      <w:r>
        <w:rPr>
          <w:rFonts w:ascii="Times New Roman" w:eastAsia="Times New Roman" w:hAnsi="Times New Roman" w:cs="Times New Roman"/>
        </w:rPr>
        <w:t>EDramaturgias</w:t>
      </w:r>
      <w:proofErr w:type="spellEnd"/>
      <w:r>
        <w:rPr>
          <w:rFonts w:ascii="Times New Roman" w:eastAsia="Times New Roman" w:hAnsi="Times New Roman" w:cs="Times New Roman"/>
        </w:rPr>
        <w:t>); Éder Rodrigues da Silva (Coordenador Curso Artes do Corpo em Cena);</w:t>
      </w:r>
      <w:r>
        <w:rPr>
          <w:rFonts w:ascii="Times New Roman" w:eastAsia="Times New Roman" w:hAnsi="Times New Roman" w:cs="Times New Roman"/>
          <w:color w:val="800080"/>
        </w:rPr>
        <w:t xml:space="preserve"> </w:t>
      </w:r>
      <w:r>
        <w:rPr>
          <w:rFonts w:ascii="Times New Roman" w:eastAsia="Times New Roman" w:hAnsi="Times New Roman" w:cs="Times New Roman"/>
        </w:rPr>
        <w:t>Marcelo Simon Wasem (Servidor Docente); Raquel Siqueira (Servidora Docente); Daniel Fils Puig (</w:t>
      </w:r>
      <w:r>
        <w:rPr>
          <w:rFonts w:ascii="Times New Roman" w:eastAsia="Times New Roman" w:hAnsi="Times New Roman" w:cs="Times New Roman"/>
        </w:rPr>
        <w:t xml:space="preserve">Servidor Docente); Sérgio Barbosa de Cerqueda (Servidor Docente); Wilson Bittencourt (Representante Conselho Estratégico e Social); Rosângela Pereira de Tugny (Servidora Docente); </w:t>
      </w:r>
      <w:proofErr w:type="spellStart"/>
      <w:r>
        <w:rPr>
          <w:rFonts w:ascii="Times New Roman" w:eastAsia="Times New Roman" w:hAnsi="Times New Roman" w:cs="Times New Roman"/>
        </w:rPr>
        <w:t>Cinara</w:t>
      </w:r>
      <w:proofErr w:type="spellEnd"/>
      <w:r>
        <w:rPr>
          <w:rFonts w:ascii="Times New Roman" w:eastAsia="Times New Roman" w:hAnsi="Times New Roman" w:cs="Times New Roman"/>
        </w:rPr>
        <w:t xml:space="preserve"> de Araújo (Servidora Docente).</w:t>
      </w:r>
    </w:p>
    <w:p w:rsidR="00581EF1" w:rsidRDefault="00D80B3B">
      <w:pPr>
        <w:pStyle w:val="Standard"/>
        <w:spacing w:line="360" w:lineRule="auto"/>
        <w:jc w:val="both"/>
      </w:pPr>
      <w:r>
        <w:rPr>
          <w:rFonts w:ascii="Times New Roman" w:hAnsi="Times New Roman"/>
          <w:b/>
          <w:bCs/>
        </w:rPr>
        <w:t xml:space="preserve">Pauta 01. Planejamento do Programa de </w:t>
      </w:r>
      <w:r>
        <w:rPr>
          <w:rFonts w:ascii="Times New Roman" w:hAnsi="Times New Roman"/>
          <w:b/>
          <w:bCs/>
        </w:rPr>
        <w:t xml:space="preserve">Atividades Acadêmicas Suplementares Excepcionais do CFA: apreciação de propostas de ofertas de CCs dos colegiados dos cursos de 1 e </w:t>
      </w:r>
      <w:proofErr w:type="gramStart"/>
      <w:r>
        <w:rPr>
          <w:rFonts w:ascii="Times New Roman" w:hAnsi="Times New Roman"/>
          <w:b/>
          <w:bCs/>
        </w:rPr>
        <w:t>2 ciclo</w:t>
      </w:r>
      <w:proofErr w:type="gramEnd"/>
      <w:r>
        <w:rPr>
          <w:rFonts w:ascii="Times New Roman" w:hAnsi="Times New Roman"/>
          <w:b/>
          <w:bCs/>
        </w:rPr>
        <w:t xml:space="preserve"> para retomada do quadrimestre 2020.1 de forma remota. </w:t>
      </w:r>
      <w:r>
        <w:rPr>
          <w:rFonts w:ascii="Times New Roman" w:hAnsi="Times New Roman"/>
        </w:rPr>
        <w:t xml:space="preserve">Os presentes discutiram e deliberaram que as atividades </w:t>
      </w:r>
      <w:r w:rsidR="00B5258F">
        <w:rPr>
          <w:rFonts w:ascii="Times New Roman" w:hAnsi="Times New Roman"/>
        </w:rPr>
        <w:t>possam também ser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enviadas por e-mail. Bernard Belisário informou que não houve nenhum cancelamento no curso SIM. Falou que o CC Arqueologia da Imagem e Movimento oferecido pela Profa. Joana Brandão segue pendente de confirmação. Éder Rodrigues abordou o trâmite para o canc</w:t>
      </w:r>
      <w:r>
        <w:rPr>
          <w:rFonts w:ascii="Times New Roman" w:hAnsi="Times New Roman"/>
        </w:rPr>
        <w:t>elamento/adiamento de férias. Cientificou que, com exceção dos trabalhos de conclusão de curso, os componentes permanecem. Augustin de Tugny comentou os CCs oferecidos no BI e Alemar Rena complementou. Sérgio Cerqueda informou que está fazendo especializaç</w:t>
      </w:r>
      <w:r>
        <w:rPr>
          <w:rFonts w:ascii="Times New Roman" w:hAnsi="Times New Roman"/>
        </w:rPr>
        <w:t>ão relacionada a uso digital e se dispôs a contribuir com demais docentes. Alemar Rena solicitou aos coordenadores o envio das ofertas de CCs e detalhes por escrito. Éder Rodrigues informou que o Colegiado ACC elaborou documento. Leonardo Souza mencionou q</w:t>
      </w:r>
      <w:r>
        <w:rPr>
          <w:rFonts w:ascii="Times New Roman" w:hAnsi="Times New Roman"/>
        </w:rPr>
        <w:t xml:space="preserve">ue houve dúvida sobre cancelamento da matrícula dos estudantes cadastrados no </w:t>
      </w:r>
      <w:proofErr w:type="spellStart"/>
      <w:r>
        <w:rPr>
          <w:rFonts w:ascii="Times New Roman" w:hAnsi="Times New Roman"/>
        </w:rPr>
        <w:t>Sigaa</w:t>
      </w:r>
      <w:proofErr w:type="spellEnd"/>
      <w:r>
        <w:rPr>
          <w:rFonts w:ascii="Times New Roman" w:hAnsi="Times New Roman"/>
        </w:rPr>
        <w:t xml:space="preserve">. Chamou atenção que nem todos </w:t>
      </w:r>
      <w:r>
        <w:rPr>
          <w:rFonts w:ascii="Times New Roman" w:hAnsi="Times New Roman"/>
        </w:rPr>
        <w:lastRenderedPageBreak/>
        <w:t>conseguirão e perguntou o que pode ser feito para acompanhamento. Alemar Rena informou que enviará a dúvida para Progeac. Augustin de Tugny in</w:t>
      </w:r>
      <w:r>
        <w:rPr>
          <w:rFonts w:ascii="Times New Roman" w:hAnsi="Times New Roman"/>
        </w:rPr>
        <w:t xml:space="preserve">terrogou se o novo estudante aderirá a formação geral em formato novo ou anterior. Alemar Rena respondeu que também enviará a questão à Progeac. Os membros concordaram com as decisões do Colegiado. </w:t>
      </w:r>
    </w:p>
    <w:p w:rsidR="00581EF1" w:rsidRDefault="00D80B3B">
      <w:pPr>
        <w:pStyle w:val="Standard"/>
        <w:spacing w:line="360" w:lineRule="auto"/>
        <w:jc w:val="both"/>
      </w:pPr>
      <w:r>
        <w:rPr>
          <w:rFonts w:ascii="Times New Roman" w:hAnsi="Times New Roman"/>
          <w:b/>
          <w:bCs/>
        </w:rPr>
        <w:t>Pauta 02. Diretrizes para composição das ofertas dos curs</w:t>
      </w:r>
      <w:r>
        <w:rPr>
          <w:rFonts w:ascii="Times New Roman" w:hAnsi="Times New Roman"/>
          <w:b/>
          <w:bCs/>
        </w:rPr>
        <w:t xml:space="preserve">os de 1 e </w:t>
      </w:r>
      <w:proofErr w:type="gramStart"/>
      <w:r>
        <w:rPr>
          <w:rFonts w:ascii="Times New Roman" w:hAnsi="Times New Roman"/>
          <w:b/>
          <w:bCs/>
        </w:rPr>
        <w:t>2 ciclo</w:t>
      </w:r>
      <w:proofErr w:type="gramEnd"/>
      <w:r>
        <w:rPr>
          <w:rFonts w:ascii="Times New Roman" w:hAnsi="Times New Roman"/>
          <w:b/>
          <w:bCs/>
        </w:rPr>
        <w:t xml:space="preserve"> para 2020.2 e 2020.3. </w:t>
      </w:r>
      <w:r>
        <w:rPr>
          <w:rFonts w:ascii="Times New Roman" w:hAnsi="Times New Roman"/>
        </w:rPr>
        <w:t xml:space="preserve">Alemar Rena apresentou as </w:t>
      </w:r>
      <w:r w:rsidR="00B5258F">
        <w:rPr>
          <w:rFonts w:ascii="Times New Roman" w:hAnsi="Times New Roman"/>
        </w:rPr>
        <w:t>propostas</w:t>
      </w:r>
      <w:r>
        <w:rPr>
          <w:rFonts w:ascii="Times New Roman" w:hAnsi="Times New Roman"/>
        </w:rPr>
        <w:t xml:space="preserve"> da </w:t>
      </w:r>
      <w:r>
        <w:rPr>
          <w:rFonts w:ascii="Times New Roman" w:hAnsi="Times New Roman"/>
        </w:rPr>
        <w:t>reunião realizada</w:t>
      </w:r>
      <w:r w:rsidR="00B5258F">
        <w:rPr>
          <w:rFonts w:ascii="Times New Roman" w:hAnsi="Times New Roman"/>
        </w:rPr>
        <w:t xml:space="preserve"> pelo decanato com os coordenadores de curso</w:t>
      </w:r>
      <w:r>
        <w:rPr>
          <w:rFonts w:ascii="Times New Roman" w:hAnsi="Times New Roman"/>
        </w:rPr>
        <w:t xml:space="preserve"> </w:t>
      </w:r>
      <w:r w:rsidR="00B5258F">
        <w:rPr>
          <w:rFonts w:ascii="Times New Roman" w:hAnsi="Times New Roman"/>
        </w:rPr>
        <w:t>1</w:t>
      </w:r>
      <w:r>
        <w:rPr>
          <w:rFonts w:ascii="Times New Roman" w:hAnsi="Times New Roman"/>
        </w:rPr>
        <w:t>. Considerar o percurso feito pelo estudante até aqui, com base na planilha de oferta, para garantir o percurso formativo eficiente, e não pressionar a</w:t>
      </w:r>
      <w:r>
        <w:rPr>
          <w:rFonts w:ascii="Times New Roman" w:hAnsi="Times New Roman"/>
        </w:rPr>
        <w:t xml:space="preserve"> evasão ou não ida para os cursos de segundo ciclo;  2. Oferta que faça uma ligação entre CCs e os ciclos ; 3. Quais os CCs que não podem ser ofertados de forma remota;  4. Não atrasarmos os estudantes em viés de se formar ; 5. Levar em conta a FG que vai </w:t>
      </w:r>
      <w:r>
        <w:rPr>
          <w:rFonts w:ascii="Times New Roman" w:hAnsi="Times New Roman"/>
        </w:rPr>
        <w:t>estar em vigência em 2020.2 6. Arte e tecnologia &gt; exemplo de CC a ser ofertado por conveniência;  7. No lugar dos que não são adequados para oferta, inserir o que melhor se adequar ao atual contexto</w:t>
      </w:r>
      <w:r>
        <w:rPr>
          <w:rFonts w:ascii="Times New Roman" w:hAnsi="Times New Roman"/>
        </w:rPr>
        <w:t xml:space="preserve">; 8. Necessidade de </w:t>
      </w:r>
      <w:proofErr w:type="spellStart"/>
      <w:r>
        <w:rPr>
          <w:rFonts w:ascii="Times New Roman" w:hAnsi="Times New Roman"/>
        </w:rPr>
        <w:t>reoferta</w:t>
      </w:r>
      <w:proofErr w:type="spellEnd"/>
      <w:r>
        <w:rPr>
          <w:rFonts w:ascii="Times New Roman" w:hAnsi="Times New Roman"/>
        </w:rPr>
        <w:t xml:space="preserve"> pra quem não pode ser inscr</w:t>
      </w:r>
      <w:r>
        <w:rPr>
          <w:rFonts w:ascii="Times New Roman" w:hAnsi="Times New Roman"/>
        </w:rPr>
        <w:t>ever durante a pandemia;  9. Pensar na evasão, em especial para os estudantes calouros &gt; pensar numa oferta instigante, mas com o mínimo de impacto). Ao final, o decano f</w:t>
      </w:r>
      <w:r>
        <w:rPr>
          <w:rFonts w:ascii="Times New Roman" w:hAnsi="Times New Roman"/>
        </w:rPr>
        <w:t xml:space="preserve">ez considerações sobre as ofertas de CCs nos cursos/ciclos. Destacou que cada mudança </w:t>
      </w:r>
      <w:r>
        <w:rPr>
          <w:rFonts w:ascii="Times New Roman" w:hAnsi="Times New Roman"/>
        </w:rPr>
        <w:t>interfere nos cursos. Citou a existência de CCs que não devem ser ofertados remotamente. Os presentes discutiram. Marcelo Wasem perguntou sobre a possibilidade de ofertar CC e validar futuramente. Bernard Belisário reforçou que a diretriz Nº 01 que privile</w:t>
      </w:r>
      <w:r>
        <w:rPr>
          <w:rFonts w:ascii="Times New Roman" w:hAnsi="Times New Roman"/>
        </w:rPr>
        <w:t>gia os concluintes é primordial. Augustin de Tugny falou que ajustes no currículo são inevitáveis. Ariane Stolfi considerou a possibilidade de equivalência e Augustin de Tugny recomendou respeitar o PPC. Sérgio Cerqueda abordou o mínimo para abertura e man</w:t>
      </w:r>
      <w:r>
        <w:rPr>
          <w:rFonts w:ascii="Times New Roman" w:hAnsi="Times New Roman"/>
        </w:rPr>
        <w:t>utenção de turmas para casos excepcionais e para permitir concluintes terminem o curso, sugeriu solicitar um CC livre e pediu cuidado ao propor atividade excepcional negociando as ofertas. Dodi Leal tratou das instabilidades e demonstrou sensação de insegu</w:t>
      </w:r>
      <w:r>
        <w:rPr>
          <w:rFonts w:ascii="Times New Roman" w:hAnsi="Times New Roman"/>
        </w:rPr>
        <w:t xml:space="preserve">rança das decisões. Marcelo Wasem considerou a importância da integração entre CCs para contemplar os conteúdos novos. Alemar Rena considerou que </w:t>
      </w:r>
      <w:proofErr w:type="gramStart"/>
      <w:r>
        <w:rPr>
          <w:rFonts w:ascii="Times New Roman" w:hAnsi="Times New Roman"/>
        </w:rPr>
        <w:t>atividades desenvolvidas por meio de ferramentas digitais possibilita</w:t>
      </w:r>
      <w:proofErr w:type="gramEnd"/>
      <w:r>
        <w:rPr>
          <w:rFonts w:ascii="Times New Roman" w:hAnsi="Times New Roman"/>
        </w:rPr>
        <w:t xml:space="preserve"> superar as barreiras. Leonardo Souza lem</w:t>
      </w:r>
      <w:r>
        <w:rPr>
          <w:rFonts w:ascii="Times New Roman" w:hAnsi="Times New Roman"/>
        </w:rPr>
        <w:t xml:space="preserve">brou que a adesão pode ser baixa. Alemar Rena concordou que qualquer ação terá alguma perda que é importante minimizá-las. </w:t>
      </w:r>
      <w:r>
        <w:rPr>
          <w:rFonts w:ascii="Times New Roman" w:hAnsi="Times New Roman"/>
        </w:rPr>
        <w:lastRenderedPageBreak/>
        <w:t>Marcelo Wasem ressaltou a importância da integração. Bernard Belisário, Ariane Stolfi, Leonardo Souza e Éder Rodrigues fizeram consid</w:t>
      </w:r>
      <w:r>
        <w:rPr>
          <w:rFonts w:ascii="Times New Roman" w:hAnsi="Times New Roman"/>
        </w:rPr>
        <w:t xml:space="preserve">erações. Encaminhamento: abrir CC por turma, CC equivalente, manter turmas, cursos com monitores ou conectores, consultar e fazer lista de materiais. Item aprovado. </w:t>
      </w:r>
      <w:bookmarkStart w:id="0" w:name="_GoBack"/>
      <w:bookmarkEnd w:id="0"/>
    </w:p>
    <w:p w:rsidR="00581EF1" w:rsidRDefault="00D80B3B">
      <w:pPr>
        <w:pStyle w:val="Standard"/>
        <w:spacing w:line="360" w:lineRule="auto"/>
        <w:jc w:val="both"/>
      </w:pPr>
      <w:r>
        <w:rPr>
          <w:rFonts w:ascii="Times New Roman" w:hAnsi="Times New Roman"/>
          <w:b/>
          <w:bCs/>
        </w:rPr>
        <w:t xml:space="preserve">Pauta 03. Segunda rodada de discussão do PDI UFSB. </w:t>
      </w:r>
      <w:r>
        <w:rPr>
          <w:rFonts w:ascii="Times New Roman" w:hAnsi="Times New Roman"/>
        </w:rPr>
        <w:t>Daniel Puig, Alemar Rena e Leonardo Sou</w:t>
      </w:r>
      <w:r>
        <w:rPr>
          <w:rFonts w:ascii="Times New Roman" w:hAnsi="Times New Roman"/>
        </w:rPr>
        <w:t xml:space="preserve">za fizeram considerações. Rosângela de Tugny demonstrou preocupação com os CUNIS, citou a </w:t>
      </w:r>
      <w:proofErr w:type="spellStart"/>
      <w:r>
        <w:rPr>
          <w:rFonts w:ascii="Times New Roman" w:hAnsi="Times New Roman"/>
        </w:rPr>
        <w:t>metapresencialidade</w:t>
      </w:r>
      <w:proofErr w:type="spellEnd"/>
      <w:r>
        <w:rPr>
          <w:rFonts w:ascii="Times New Roman" w:hAnsi="Times New Roman"/>
        </w:rPr>
        <w:t xml:space="preserve"> e a estrutura técnica da UFSB e sugeriu descentralizar a gestão operacional. Alemar Rena destacou a carência de servidores docentes e técnicos. Le</w:t>
      </w:r>
      <w:r>
        <w:rPr>
          <w:rFonts w:ascii="Times New Roman" w:hAnsi="Times New Roman"/>
        </w:rPr>
        <w:t>onardo Souza defendeu o PDI para unidade como forma de garantir continuidade das ações diante de mudanças de gestor. Éder Rodrigues considerou que o diálogo com toda a universidade não ocorre de forma ampla como entende a gestão. Os membros aprovaram o seg</w:t>
      </w:r>
      <w:r>
        <w:rPr>
          <w:rFonts w:ascii="Times New Roman" w:hAnsi="Times New Roman"/>
        </w:rPr>
        <w:t xml:space="preserve">uinte encaminhamento: As contribuições serão recebidas por e-mail e organizadas. </w:t>
      </w:r>
      <w:r>
        <w:rPr>
          <w:rFonts w:ascii="Times New Roman" w:eastAsia="Times New Roman" w:hAnsi="Times New Roman" w:cs="Times New Roman"/>
          <w:color w:val="00000A"/>
        </w:rPr>
        <w:t>Nada mais havendo a tratar, Alemar Rena encerrou a reunião, da qual eu</w:t>
      </w:r>
      <w:r>
        <w:rPr>
          <w:rFonts w:ascii="Times New Roman" w:eastAsia="Times New Roman" w:hAnsi="Times New Roman" w:cs="Times New Roman"/>
        </w:rPr>
        <w:t xml:space="preserve">, Joelma Boto, lavrei a presente Ata, que vai assinada e aprovada pelos membros. </w:t>
      </w:r>
      <w:r>
        <w:rPr>
          <w:rFonts w:ascii="Times New Roman" w:eastAsia="Times New Roman" w:hAnsi="Times New Roman" w:cs="Times New Roman"/>
          <w:b/>
        </w:rPr>
        <w:t>Aprovada em: ____-____-_</w:t>
      </w:r>
      <w:r>
        <w:rPr>
          <w:rFonts w:ascii="Times New Roman" w:eastAsia="Times New Roman" w:hAnsi="Times New Roman" w:cs="Times New Roman"/>
          <w:b/>
        </w:rPr>
        <w:t>_______</w:t>
      </w:r>
    </w:p>
    <w:p w:rsidR="00581EF1" w:rsidRDefault="00D80B3B">
      <w:pPr>
        <w:pStyle w:val="Standard"/>
        <w:suppressLineNumbers/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222222"/>
        </w:rPr>
        <w:t>Assinaturas:</w:t>
      </w:r>
    </w:p>
    <w:tbl>
      <w:tblPr>
        <w:tblW w:w="9747" w:type="dxa"/>
        <w:tblInd w:w="-108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814"/>
        <w:gridCol w:w="4933"/>
      </w:tblGrid>
      <w:tr w:rsidR="00581EF1"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Nome completo: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spacing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Assinatura:</w:t>
            </w:r>
          </w:p>
        </w:tc>
      </w:tr>
      <w:tr w:rsidR="00581EF1"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Alemar Silva Araújo Rena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581EF1"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Bernard Pego Belisário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581EF1">
        <w:tc>
          <w:tcPr>
            <w:tcW w:w="48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Clarissa Santos Silva</w:t>
            </w:r>
          </w:p>
        </w:tc>
        <w:tc>
          <w:tcPr>
            <w:tcW w:w="49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581EF1">
        <w:trPr>
          <w:trHeight w:val="320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Éder Rodrigues da Silva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581EF1">
        <w:trPr>
          <w:trHeight w:val="320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Hamilton Richard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Alexandrino dos Santos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581EF1">
        <w:trPr>
          <w:trHeight w:val="320"/>
        </w:trPr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Dodi Borges Leal</w:t>
            </w:r>
          </w:p>
        </w:tc>
        <w:tc>
          <w:tcPr>
            <w:tcW w:w="4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581EF1">
        <w:trPr>
          <w:trHeight w:val="474"/>
        </w:trPr>
        <w:tc>
          <w:tcPr>
            <w:tcW w:w="48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Pâmela Peregrino</w:t>
            </w:r>
          </w:p>
        </w:tc>
        <w:tc>
          <w:tcPr>
            <w:tcW w:w="49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581EF1">
        <w:trPr>
          <w:trHeight w:val="474"/>
        </w:trPr>
        <w:tc>
          <w:tcPr>
            <w:tcW w:w="48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Augustin de Tugny</w:t>
            </w:r>
          </w:p>
        </w:tc>
        <w:tc>
          <w:tcPr>
            <w:tcW w:w="49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581EF1">
        <w:trPr>
          <w:trHeight w:val="474"/>
        </w:trPr>
        <w:tc>
          <w:tcPr>
            <w:tcW w:w="48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Juliana Coelho Gontijo</w:t>
            </w:r>
          </w:p>
        </w:tc>
        <w:tc>
          <w:tcPr>
            <w:tcW w:w="49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  <w:tr w:rsidR="00581EF1">
        <w:trPr>
          <w:trHeight w:val="474"/>
        </w:trPr>
        <w:tc>
          <w:tcPr>
            <w:tcW w:w="48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Wilson Bittencourt</w:t>
            </w:r>
          </w:p>
        </w:tc>
        <w:tc>
          <w:tcPr>
            <w:tcW w:w="49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1EF1" w:rsidRDefault="00D80B3B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Acesso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metapresencial</w:t>
            </w:r>
            <w:proofErr w:type="spellEnd"/>
          </w:p>
        </w:tc>
      </w:tr>
    </w:tbl>
    <w:p w:rsidR="00581EF1" w:rsidRDefault="00581EF1">
      <w:pPr>
        <w:pStyle w:val="Standard"/>
        <w:suppressLineNumbers/>
        <w:spacing w:line="360" w:lineRule="auto"/>
        <w:jc w:val="both"/>
      </w:pPr>
    </w:p>
    <w:sectPr w:rsidR="00581EF1">
      <w:headerReference w:type="default" r:id="rId7"/>
      <w:footerReference w:type="default" r:id="rId8"/>
      <w:pgSz w:w="11906" w:h="16838"/>
      <w:pgMar w:top="1134" w:right="1134" w:bottom="1134" w:left="1134" w:header="567" w:footer="0" w:gutter="0"/>
      <w:lnNumType w:countBy="1" w:distance="180" w:restart="continuous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B3B" w:rsidRDefault="00D80B3B">
      <w:pPr>
        <w:spacing w:after="0" w:line="240" w:lineRule="auto"/>
      </w:pPr>
      <w:r>
        <w:separator/>
      </w:r>
    </w:p>
  </w:endnote>
  <w:endnote w:type="continuationSeparator" w:id="0">
    <w:p w:rsidR="00D80B3B" w:rsidRDefault="00D8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EF1" w:rsidRDefault="00D80B3B">
    <w:pPr>
      <w:pStyle w:val="Standard"/>
      <w:spacing w:after="0" w:line="240" w:lineRule="auto"/>
      <w:ind w:left="283"/>
      <w:jc w:val="right"/>
    </w:pPr>
    <w:r>
      <w:rPr>
        <w:rFonts w:ascii="Times New Roman" w:eastAsia="Times New Roman" w:hAnsi="Times New Roman" w:cs="Times New Roman"/>
        <w:sz w:val="22"/>
        <w:szCs w:val="22"/>
      </w:rPr>
      <w:t xml:space="preserve">Página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PAGE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1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  <w:r>
      <w:rPr>
        <w:rFonts w:ascii="Times New Roman" w:eastAsia="Times New Roman" w:hAnsi="Times New Roman" w:cs="Times New Roman"/>
        <w:sz w:val="22"/>
        <w:szCs w:val="22"/>
      </w:rPr>
      <w:t xml:space="preserve"> de </w:t>
    </w:r>
    <w:r>
      <w:rPr>
        <w:rFonts w:ascii="Times New Roman" w:eastAsia="Times New Roman" w:hAnsi="Times New Roman" w:cs="Times New Roman"/>
        <w:sz w:val="22"/>
        <w:szCs w:val="22"/>
      </w:rPr>
      <w:fldChar w:fldCharType="begin"/>
    </w:r>
    <w:r>
      <w:rPr>
        <w:rFonts w:ascii="Times New Roman" w:eastAsia="Times New Roman" w:hAnsi="Times New Roman" w:cs="Times New Roman"/>
        <w:sz w:val="22"/>
        <w:szCs w:val="22"/>
      </w:rPr>
      <w:instrText>NUMPAGES</w:instrText>
    </w:r>
    <w:r>
      <w:rPr>
        <w:rFonts w:ascii="Times New Roman" w:eastAsia="Times New Roman" w:hAnsi="Times New Roman" w:cs="Times New Roman"/>
        <w:sz w:val="22"/>
        <w:szCs w:val="22"/>
      </w:rPr>
      <w:fldChar w:fldCharType="separate"/>
    </w:r>
    <w:r>
      <w:rPr>
        <w:rFonts w:ascii="Times New Roman" w:eastAsia="Times New Roman" w:hAnsi="Times New Roman" w:cs="Times New Roman"/>
        <w:sz w:val="22"/>
        <w:szCs w:val="22"/>
      </w:rPr>
      <w:t>3</w:t>
    </w:r>
    <w:r>
      <w:rPr>
        <w:rFonts w:ascii="Times New Roman" w:eastAsia="Times New Roman" w:hAnsi="Times New Roman" w:cs="Times New Roman"/>
        <w:sz w:val="22"/>
        <w:szCs w:val="22"/>
      </w:rPr>
      <w:fldChar w:fldCharType="end"/>
    </w:r>
  </w:p>
  <w:tbl>
    <w:tblPr>
      <w:tblW w:w="9694" w:type="dxa"/>
      <w:tblInd w:w="108" w:type="dxa"/>
      <w:tblLook w:val="04A0" w:firstRow="1" w:lastRow="0" w:firstColumn="1" w:lastColumn="0" w:noHBand="0" w:noVBand="1"/>
    </w:tblPr>
    <w:tblGrid>
      <w:gridCol w:w="9694"/>
    </w:tblGrid>
    <w:tr w:rsidR="00581EF1">
      <w:trPr>
        <w:trHeight w:val="1420"/>
      </w:trPr>
      <w:tc>
        <w:tcPr>
          <w:tcW w:w="9694" w:type="dxa"/>
          <w:tcBorders>
            <w:top w:val="single" w:sz="4" w:space="0" w:color="000001"/>
          </w:tcBorders>
          <w:shd w:val="clear" w:color="auto" w:fill="auto"/>
        </w:tcPr>
        <w:p w:rsidR="00581EF1" w:rsidRDefault="00D80B3B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 xml:space="preserve">Universidade Federal do Sul da Bahia –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UFSB</w:t>
          </w:r>
        </w:p>
        <w:p w:rsidR="00581EF1" w:rsidRDefault="00D80B3B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b/>
              <w:i/>
              <w:sz w:val="20"/>
              <w:szCs w:val="20"/>
            </w:rPr>
            <w:t xml:space="preserve">Campus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Sosígenes Costa</w:t>
          </w:r>
          <w:r>
            <w:rPr>
              <w:b/>
              <w:sz w:val="20"/>
              <w:szCs w:val="20"/>
            </w:rPr>
            <w:t xml:space="preserve"> – 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</w:rPr>
            <w:t>Centro de Formação em Artes</w:t>
          </w:r>
        </w:p>
        <w:p w:rsidR="00581EF1" w:rsidRDefault="00D80B3B">
          <w:pPr>
            <w:pStyle w:val="Standard"/>
            <w:spacing w:after="0" w:line="240" w:lineRule="auto"/>
          </w:pPr>
          <w:r>
            <w:rPr>
              <w:rFonts w:ascii="Times New Roman" w:eastAsia="Times New Roman" w:hAnsi="Times New Roman" w:cs="Times New Roman"/>
              <w:sz w:val="20"/>
              <w:szCs w:val="20"/>
            </w:rPr>
            <w:t>BR 367, Km 10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Rod. Porto Seguro-Eunápolis, Porto Seguro, BA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>
            <w:rPr>
              <w:rFonts w:ascii="Times New Roman" w:eastAsia="Times New Roman" w:hAnsi="Times New Roman" w:cs="Times New Roman"/>
              <w:sz w:val="20"/>
              <w:szCs w:val="20"/>
            </w:rPr>
            <w:t>45.810-000</w:t>
          </w:r>
        </w:p>
        <w:p w:rsidR="00581EF1" w:rsidRDefault="00581EF1">
          <w:pPr>
            <w:pStyle w:val="Standard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</w:tbl>
  <w:p w:rsidR="00581EF1" w:rsidRDefault="00581EF1">
    <w:pPr>
      <w:pStyle w:val="Standard"/>
      <w:tabs>
        <w:tab w:val="center" w:pos="4252"/>
        <w:tab w:val="right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B3B" w:rsidRDefault="00D80B3B">
      <w:pPr>
        <w:spacing w:after="0" w:line="240" w:lineRule="auto"/>
      </w:pPr>
      <w:r>
        <w:separator/>
      </w:r>
    </w:p>
  </w:footnote>
  <w:footnote w:type="continuationSeparator" w:id="0">
    <w:p w:rsidR="00D80B3B" w:rsidRDefault="00D80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84" w:type="dxa"/>
      <w:tblInd w:w="108" w:type="dxa"/>
      <w:tblLook w:val="04A0" w:firstRow="1" w:lastRow="0" w:firstColumn="1" w:lastColumn="0" w:noHBand="0" w:noVBand="1"/>
    </w:tblPr>
    <w:tblGrid>
      <w:gridCol w:w="1746"/>
      <w:gridCol w:w="7938"/>
    </w:tblGrid>
    <w:tr w:rsidR="00581EF1">
      <w:trPr>
        <w:trHeight w:val="1474"/>
      </w:trPr>
      <w:tc>
        <w:tcPr>
          <w:tcW w:w="1746" w:type="dxa"/>
          <w:tcBorders>
            <w:bottom w:val="single" w:sz="4" w:space="0" w:color="00000A"/>
          </w:tcBorders>
          <w:shd w:val="clear" w:color="auto" w:fill="auto"/>
        </w:tcPr>
        <w:p w:rsidR="00581EF1" w:rsidRDefault="00D80B3B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800100" cy="966470"/>
                <wp:effectExtent l="0" t="0" r="0" b="0"/>
                <wp:docPr id="1" name="Imagem 1" descr="C:\Users\Administrador\Downloads\ASSINATURA PRINCIPAL UFSB VERTICAL COM NOME POR EXTENS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C:\Users\Administrador\Downloads\ASSINATURA PRINCIPAL UFSB VERTICAL COM NOME POR EXTENS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9664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tcBorders>
            <w:bottom w:val="single" w:sz="4" w:space="0" w:color="00000A"/>
          </w:tcBorders>
          <w:shd w:val="clear" w:color="auto" w:fill="auto"/>
        </w:tcPr>
        <w:p w:rsidR="00581EF1" w:rsidRDefault="00D80B3B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MINISTÉRIO DA EDUCAÇÃO</w:t>
          </w:r>
        </w:p>
        <w:p w:rsidR="00581EF1" w:rsidRDefault="00D80B3B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UNIVERSIDADE FEDERAL DO SUL DA BAHIA</w:t>
          </w:r>
        </w:p>
        <w:p w:rsidR="00581EF1" w:rsidRDefault="00D80B3B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i/>
              <w:color w:val="3B3838"/>
            </w:rPr>
            <w:t>CAMPUS</w:t>
          </w:r>
          <w:r>
            <w:rPr>
              <w:rFonts w:ascii="Times New Roman" w:hAnsi="Times New Roman"/>
              <w:b/>
              <w:color w:val="3B3838"/>
            </w:rPr>
            <w:t xml:space="preserve"> SOSÍGENES COSTA</w:t>
          </w:r>
        </w:p>
        <w:p w:rsidR="00581EF1" w:rsidRDefault="00D80B3B">
          <w:pPr>
            <w:pStyle w:val="Header"/>
            <w:spacing w:after="0"/>
            <w:jc w:val="both"/>
          </w:pPr>
          <w:r>
            <w:rPr>
              <w:rFonts w:ascii="Times New Roman" w:hAnsi="Times New Roman"/>
              <w:b/>
              <w:color w:val="3B3838"/>
            </w:rPr>
            <w:t>CENTRO DE FORMAÇÃO EM ARTES</w:t>
          </w:r>
        </w:p>
      </w:tc>
    </w:tr>
  </w:tbl>
  <w:p w:rsidR="00581EF1" w:rsidRDefault="00581E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F1"/>
    <w:rsid w:val="00581EF1"/>
    <w:rsid w:val="00B5258F"/>
    <w:rsid w:val="00D8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E46C77E"/>
  <w15:docId w15:val="{7D8834F7-53C5-944D-8431-8729979B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styleId="Heading1">
    <w:name w:val="heading 1"/>
    <w:next w:val="Standard"/>
    <w:qFormat/>
    <w:pPr>
      <w:keepNext/>
      <w:keepLines/>
      <w:spacing w:before="480" w:after="120" w:line="259" w:lineRule="auto"/>
      <w:outlineLvl w:val="0"/>
    </w:pPr>
    <w:rPr>
      <w:b/>
      <w:sz w:val="48"/>
      <w:szCs w:val="48"/>
    </w:rPr>
  </w:style>
  <w:style w:type="paragraph" w:styleId="Heading2">
    <w:name w:val="heading 2"/>
    <w:next w:val="Standard"/>
    <w:qFormat/>
    <w:pPr>
      <w:keepNext/>
      <w:keepLines/>
      <w:spacing w:before="360" w:after="80" w:line="259" w:lineRule="auto"/>
      <w:outlineLvl w:val="1"/>
    </w:pPr>
    <w:rPr>
      <w:b/>
      <w:sz w:val="36"/>
      <w:szCs w:val="36"/>
    </w:rPr>
  </w:style>
  <w:style w:type="paragraph" w:styleId="Heading3">
    <w:name w:val="heading 3"/>
    <w:next w:val="Standard"/>
    <w:qFormat/>
    <w:pPr>
      <w:keepNext/>
      <w:keepLines/>
      <w:spacing w:before="280" w:after="80" w:line="259" w:lineRule="auto"/>
      <w:outlineLvl w:val="2"/>
    </w:pPr>
    <w:rPr>
      <w:b/>
      <w:sz w:val="28"/>
      <w:szCs w:val="28"/>
    </w:rPr>
  </w:style>
  <w:style w:type="paragraph" w:styleId="Heading4">
    <w:name w:val="heading 4"/>
    <w:next w:val="Standard"/>
    <w:qFormat/>
    <w:pPr>
      <w:keepNext/>
      <w:keepLines/>
      <w:spacing w:before="240" w:after="40" w:line="259" w:lineRule="auto"/>
      <w:outlineLvl w:val="3"/>
    </w:pPr>
    <w:rPr>
      <w:b/>
      <w:sz w:val="24"/>
    </w:rPr>
  </w:style>
  <w:style w:type="paragraph" w:styleId="Heading5">
    <w:name w:val="heading 5"/>
    <w:next w:val="Standard"/>
    <w:qFormat/>
    <w:pPr>
      <w:keepNext/>
      <w:keepLines/>
      <w:spacing w:before="220" w:after="40" w:line="259" w:lineRule="auto"/>
      <w:outlineLvl w:val="4"/>
    </w:pPr>
    <w:rPr>
      <w:b/>
      <w:sz w:val="22"/>
      <w:szCs w:val="22"/>
    </w:rPr>
  </w:style>
  <w:style w:type="paragraph" w:styleId="Heading6">
    <w:name w:val="heading 6"/>
    <w:next w:val="Standard"/>
    <w:qFormat/>
    <w:pPr>
      <w:keepNext/>
      <w:keepLines/>
      <w:spacing w:before="200" w:after="40" w:line="259" w:lineRule="auto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qFormat/>
  </w:style>
  <w:style w:type="character" w:customStyle="1" w:styleId="LinkdaInternet">
    <w:name w:val="Link da Internet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CabealhoChar">
    <w:name w:val="Cabeçalho Char"/>
    <w:basedOn w:val="DefaultParagraphFont"/>
    <w:qFormat/>
  </w:style>
  <w:style w:type="character" w:customStyle="1" w:styleId="RodapChar">
    <w:name w:val="Rodapé Char"/>
    <w:basedOn w:val="DefaultParagraphFont"/>
    <w:qFormat/>
  </w:style>
  <w:style w:type="character" w:customStyle="1" w:styleId="TextodebaloChar">
    <w:name w:val="Texto de balão Char"/>
    <w:basedOn w:val="DefaultParagraphFont"/>
    <w:qFormat/>
    <w:rPr>
      <w:rFonts w:ascii="Lucida Grande" w:eastAsia="Lucida Grande" w:hAnsi="Lucida Grande" w:cs="Lucida Grande"/>
      <w:sz w:val="18"/>
      <w:szCs w:val="18"/>
    </w:rPr>
  </w:style>
  <w:style w:type="character" w:customStyle="1" w:styleId="ListLabel1">
    <w:name w:val="ListLabel 1"/>
    <w:qFormat/>
    <w:rPr>
      <w:position w:val="0"/>
      <w:sz w:val="24"/>
      <w:vertAlign w:val="baseline"/>
    </w:rPr>
  </w:style>
  <w:style w:type="character" w:customStyle="1" w:styleId="ListLabel2">
    <w:name w:val="ListLabel 2"/>
    <w:qFormat/>
    <w:rPr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nenumbering">
    <w:name w:val="Line numbering"/>
    <w:qFormat/>
  </w:style>
  <w:style w:type="character" w:customStyle="1" w:styleId="Numeraodelinhas">
    <w:name w:val="Numeração de linhas"/>
  </w:style>
  <w:style w:type="paragraph" w:customStyle="1" w:styleId="Ttulo">
    <w:name w:val="Título"/>
    <w:next w:val="Textbod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qFormat/>
    <w:pPr>
      <w:spacing w:after="160" w:line="259" w:lineRule="auto"/>
    </w:pPr>
    <w:rPr>
      <w:rFonts w:cs="Mangal"/>
      <w:sz w:val="24"/>
    </w:rPr>
  </w:style>
  <w:style w:type="paragraph" w:styleId="Caption">
    <w:name w:val="caption"/>
    <w:basedOn w:val="Standard"/>
    <w:next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qFormat/>
    <w:pPr>
      <w:suppressLineNumbers/>
    </w:pPr>
    <w:rPr>
      <w:rFonts w:cs="Mangal"/>
      <w:sz w:val="24"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Title">
    <w:name w:val="Title"/>
    <w:basedOn w:val="Standard"/>
    <w:next w:val="Standard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Standard"/>
    <w:qFormat/>
    <w:pPr>
      <w:tabs>
        <w:tab w:val="center" w:pos="4252"/>
        <w:tab w:val="right" w:pos="8504"/>
      </w:tabs>
    </w:pPr>
  </w:style>
  <w:style w:type="paragraph" w:styleId="Footer">
    <w:name w:val="footer"/>
    <w:basedOn w:val="Standard"/>
    <w:qFormat/>
    <w:pPr>
      <w:tabs>
        <w:tab w:val="center" w:pos="4252"/>
        <w:tab w:val="right" w:pos="8504"/>
      </w:tabs>
    </w:pPr>
  </w:style>
  <w:style w:type="paragraph" w:styleId="BalloonText">
    <w:name w:val="Balloon Text"/>
    <w:basedOn w:val="Standard"/>
    <w:qFormat/>
    <w:rPr>
      <w:rFonts w:ascii="Lucida Grande" w:eastAsia="Lucida Grande" w:hAnsi="Lucida Grande" w:cs="Lucida Grande"/>
      <w:sz w:val="18"/>
      <w:szCs w:val="18"/>
    </w:rPr>
  </w:style>
  <w:style w:type="paragraph" w:styleId="Subtitle">
    <w:name w:val="Subtitle"/>
    <w:basedOn w:val="Standard"/>
    <w:next w:val="Standard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eviso1">
    <w:name w:val="Revisão1"/>
    <w:qFormat/>
    <w:pPr>
      <w:suppressAutoHyphens/>
      <w:spacing w:after="160" w:line="259" w:lineRule="auto"/>
      <w:textAlignment w:val="baseline"/>
    </w:pPr>
    <w:rPr>
      <w:rFonts w:ascii="Liberation Serif" w:eastAsia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4</Pages>
  <Words>999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Reunião Extraordinária Congregação CFA 06 08 2020.pages</dc:title>
  <dc:subject/>
  <dc:creator>Alemar Rena</dc:creator>
  <dc:description/>
  <cp:lastModifiedBy>Alemar Rena</cp:lastModifiedBy>
  <cp:revision>430</cp:revision>
  <cp:lastPrinted>2018-12-19T13:31:00Z</cp:lastPrinted>
  <dcterms:created xsi:type="dcterms:W3CDTF">2020-08-03T18:11:00Z</dcterms:created>
  <dcterms:modified xsi:type="dcterms:W3CDTF">2020-12-08T13:49:00Z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1046-11.2.0.9232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